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4.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sz w:val="30"/>
          <w:szCs w:val="30"/>
          <w:u w:val="single"/>
        </w:rPr>
      </w:pPr>
      <w:r>
        <w:rPr>
          <w:drawing>
            <wp:inline distT="0" distB="0" distL="0" distR="0">
              <wp:extent cx="695960" cy="8483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95960" cy="848360"/>
                      </a:xfrm>
                      <a:prstGeom prst="rect">
                        <a:avLst/>
                      </a:prstGeom>
                      <a:noFill/>
                      <a:ln w="9525">
                        <a:noFill/>
                        <a:miter lim="800000"/>
                        <a:headEnd/>
                        <a:tailEnd/>
                      </a:ln>
                    </pic:spPr>
                  </pic:pic>
                </a:graphicData>
              </a:graphic>
            </wp:inline>
          </w:drawing>
        </w:rPr>
      </w:r>
      <w:r>
        <w:rPr/>
        <w:t xml:space="preserve">        </w:t>
      </w:r>
      <w:r>
        <w:rPr>
          <w:b/>
          <w:bCs/>
          <w:sz w:val="30"/>
          <w:szCs w:val="30"/>
          <w:u w:val="single"/>
        </w:rPr>
        <w:t>Obec Závada,  991 21  Závada č.54,  IČO:00319708</w:t>
      </w:r>
    </w:p>
    <w:p>
      <w:pPr>
        <w:pStyle w:val="Normal"/>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r>
    </w:p>
    <w:p>
      <w:pPr>
        <w:pStyle w:val="Normal"/>
        <w:jc w:val="center"/>
        <w:rPr>
          <w:b/>
          <w:sz w:val="48"/>
          <w:szCs w:val="48"/>
          <w:lang w:val="sk-SK"/>
        </w:rPr>
      </w:pPr>
      <w:r>
        <w:rPr>
          <w:b/>
          <w:sz w:val="48"/>
          <w:szCs w:val="48"/>
          <w:lang w:val="sk-SK"/>
        </w:rPr>
        <w:t xml:space="preserve">Interná smernica  č. 11 </w:t>
      </w:r>
    </w:p>
    <w:p>
      <w:pPr>
        <w:pStyle w:val="Normal"/>
        <w:jc w:val="center"/>
        <w:rPr>
          <w:b/>
          <w:sz w:val="40"/>
          <w:szCs w:val="40"/>
          <w:lang w:val="sk-SK"/>
        </w:rPr>
      </w:pPr>
      <w:r>
        <w:rPr>
          <w:b/>
          <w:sz w:val="40"/>
          <w:szCs w:val="40"/>
          <w:lang w:val="sk-SK"/>
        </w:rPr>
      </w:r>
    </w:p>
    <w:p>
      <w:pPr>
        <w:pStyle w:val="Normal"/>
        <w:jc w:val="center"/>
        <w:rPr>
          <w:b/>
          <w:sz w:val="24"/>
          <w:lang w:val="sk-SK"/>
        </w:rPr>
      </w:pPr>
      <w:r>
        <w:rPr>
          <w:b/>
          <w:sz w:val="24"/>
          <w:lang w:val="sk-SK"/>
        </w:rPr>
      </w:r>
    </w:p>
    <w:p>
      <w:pPr>
        <w:pStyle w:val="Normal"/>
        <w:jc w:val="center"/>
        <w:rPr>
          <w:b/>
          <w:sz w:val="24"/>
          <w:lang w:val="sk-SK"/>
        </w:rPr>
      </w:pPr>
      <w:r>
        <w:rPr>
          <w:b/>
          <w:sz w:val="24"/>
          <w:lang w:val="sk-SK"/>
        </w:rPr>
        <w:t>O POUŽITÍ FINANČNÝCH PROSTRIEDKOV</w:t>
      </w:r>
    </w:p>
    <w:p>
      <w:pPr>
        <w:pStyle w:val="Normal"/>
        <w:jc w:val="center"/>
        <w:rPr>
          <w:b/>
          <w:sz w:val="36"/>
          <w:lang w:val="sk-SK"/>
        </w:rPr>
      </w:pPr>
      <w:r>
        <w:rPr>
          <w:b/>
          <w:sz w:val="36"/>
          <w:lang w:val="sk-SK"/>
        </w:rPr>
        <w:t>na výdavky na reprezentačné a propagačné účely</w:t>
      </w:r>
    </w:p>
    <w:p>
      <w:pPr>
        <w:pStyle w:val="Normal"/>
        <w:jc w:val="both"/>
        <w:rPr>
          <w:b/>
          <w:sz w:val="24"/>
          <w:lang w:val="sk-SK"/>
        </w:rPr>
      </w:pPr>
      <w:r>
        <w:rPr>
          <w:b/>
          <w:sz w:val="24"/>
          <w:lang w:val="sk-SK"/>
        </w:rPr>
        <w:t xml:space="preserve">                                                      </w:t>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rPr>
          <w:b/>
          <w:sz w:val="24"/>
          <w:lang w:val="sk-SK"/>
        </w:rPr>
      </w:pPr>
      <w:r>
        <w:rPr>
          <w:b/>
          <w:sz w:val="24"/>
          <w:lang w:val="sk-SK"/>
        </w:rPr>
      </w:r>
    </w:p>
    <w:p>
      <w:pPr>
        <w:pStyle w:val="Nadpis3"/>
        <w:numPr>
          <w:ilvl w:val="2"/>
          <w:numId w:val="1"/>
        </w:numPr>
        <w:pBdr>
          <w:top w:val="nil"/>
          <w:left w:val="nil"/>
          <w:bottom w:val="single" w:sz="12" w:space="1" w:color="000000"/>
          <w:right w:val="nil"/>
        </w:pBdr>
        <w:rPr/>
      </w:pPr>
      <w:r>
        <w:rPr/>
        <w:t xml:space="preserve"> </w:t>
      </w:r>
      <w:r>
        <w:rPr/>
        <w:t>str. 1</w:t>
      </w:r>
    </w:p>
    <w:p>
      <w:pPr>
        <w:pStyle w:val="Normal"/>
        <w:jc w:val="center"/>
        <w:rPr>
          <w:sz w:val="24"/>
          <w:lang w:val="sk-SK"/>
        </w:rPr>
      </w:pPr>
      <w:r>
        <w:rPr>
          <w:sz w:val="24"/>
          <w:lang w:val="sk-SK"/>
        </w:rPr>
      </w:r>
    </w:p>
    <w:p>
      <w:pPr>
        <w:pStyle w:val="Normal"/>
        <w:jc w:val="both"/>
        <w:rPr>
          <w:b/>
          <w:sz w:val="24"/>
          <w:lang w:val="sk-SK"/>
        </w:rPr>
      </w:pPr>
      <w:r>
        <w:rPr>
          <w:b/>
          <w:sz w:val="24"/>
          <w:lang w:val="sk-SK"/>
        </w:rPr>
        <w:t>Obec Závada podľa § 36 zákona č. 523/2004 Z.z. o rozpočtových pravidlách verejnej správy a  zákona č. 303/1995 Z.z.  znení neskorších predpisov určuje použitie finančných prostriedkov zo svojho rozpočtu na výdavky</w:t>
      </w:r>
    </w:p>
    <w:p>
      <w:pPr>
        <w:pStyle w:val="Normal"/>
        <w:numPr>
          <w:ilvl w:val="0"/>
          <w:numId w:val="3"/>
        </w:numPr>
        <w:tabs>
          <w:tab w:val="left" w:pos="2160" w:leader="none"/>
        </w:tabs>
        <w:ind w:left="2160" w:right="0" w:hanging="360"/>
        <w:jc w:val="both"/>
        <w:rPr>
          <w:b/>
          <w:sz w:val="24"/>
          <w:lang w:val="sk-SK"/>
        </w:rPr>
      </w:pPr>
      <w:r>
        <w:rPr>
          <w:b/>
          <w:sz w:val="24"/>
          <w:lang w:val="sk-SK"/>
        </w:rPr>
        <w:t>na oslavy, sviatky, kultúrne a spoločenské akcie poriadané obcou  a vyznamenania</w:t>
      </w:r>
    </w:p>
    <w:p>
      <w:pPr>
        <w:pStyle w:val="Normal"/>
        <w:numPr>
          <w:ilvl w:val="0"/>
          <w:numId w:val="3"/>
        </w:numPr>
        <w:tabs>
          <w:tab w:val="left" w:pos="2160" w:leader="none"/>
        </w:tabs>
        <w:ind w:left="2160" w:right="0" w:hanging="360"/>
        <w:jc w:val="both"/>
        <w:rPr>
          <w:b/>
          <w:sz w:val="24"/>
          <w:lang w:val="sk-SK"/>
        </w:rPr>
      </w:pPr>
      <w:r>
        <w:rPr>
          <w:b/>
          <w:sz w:val="24"/>
          <w:lang w:val="sk-SK"/>
        </w:rPr>
        <w:t xml:space="preserve">pietne akty </w:t>
      </w:r>
    </w:p>
    <w:p>
      <w:pPr>
        <w:pStyle w:val="Normal"/>
        <w:numPr>
          <w:ilvl w:val="0"/>
          <w:numId w:val="3"/>
        </w:numPr>
        <w:tabs>
          <w:tab w:val="left" w:pos="2160" w:leader="none"/>
        </w:tabs>
        <w:ind w:left="2160" w:right="0" w:hanging="360"/>
        <w:jc w:val="both"/>
        <w:rPr>
          <w:b/>
          <w:sz w:val="24"/>
          <w:lang w:val="sk-SK"/>
        </w:rPr>
      </w:pPr>
      <w:r>
        <w:rPr>
          <w:b/>
          <w:sz w:val="24"/>
          <w:lang w:val="sk-SK"/>
        </w:rPr>
        <w:t>reprezentačné účely</w:t>
      </w:r>
    </w:p>
    <w:p>
      <w:pPr>
        <w:pStyle w:val="Normal"/>
        <w:numPr>
          <w:ilvl w:val="0"/>
          <w:numId w:val="3"/>
        </w:numPr>
        <w:tabs>
          <w:tab w:val="left" w:pos="2160" w:leader="none"/>
        </w:tabs>
        <w:ind w:left="2160" w:right="0" w:hanging="360"/>
        <w:jc w:val="both"/>
        <w:rPr>
          <w:b/>
          <w:sz w:val="24"/>
          <w:lang w:val="sk-SK"/>
        </w:rPr>
      </w:pPr>
      <w:r>
        <w:rPr>
          <w:b/>
          <w:sz w:val="24"/>
          <w:lang w:val="sk-SK"/>
        </w:rPr>
        <w:t>propagačné účely</w:t>
      </w:r>
    </w:p>
    <w:p>
      <w:pPr>
        <w:pStyle w:val="Normal"/>
        <w:ind w:left="1800" w:right="0" w:hanging="0"/>
        <w:jc w:val="both"/>
        <w:rPr>
          <w:b/>
          <w:sz w:val="24"/>
          <w:lang w:val="sk-SK"/>
        </w:rPr>
      </w:pPr>
      <w:r>
        <w:rPr>
          <w:b/>
          <w:sz w:val="24"/>
          <w:lang w:val="sk-SK"/>
        </w:rPr>
        <w:t xml:space="preserve">                                       </w:t>
      </w:r>
      <w:r>
        <w:rPr>
          <w:b/>
          <w:sz w:val="24"/>
          <w:lang w:val="sk-SK"/>
        </w:rPr>
        <w:t>t a k t o:</w:t>
      </w:r>
    </w:p>
    <w:p>
      <w:pPr>
        <w:pStyle w:val="Normal"/>
        <w:jc w:val="both"/>
        <w:rPr>
          <w:b/>
          <w:sz w:val="24"/>
          <w:lang w:val="sk-SK"/>
        </w:rPr>
      </w:pPr>
      <w:r>
        <w:rPr>
          <w:b/>
          <w:sz w:val="24"/>
          <w:lang w:val="sk-SK"/>
        </w:rPr>
      </w:r>
    </w:p>
    <w:p>
      <w:pPr>
        <w:pStyle w:val="Normal"/>
        <w:jc w:val="center"/>
        <w:rPr>
          <w:b/>
          <w:sz w:val="24"/>
          <w:lang w:val="sk-SK"/>
        </w:rPr>
      </w:pPr>
      <w:r>
        <w:rPr>
          <w:b/>
          <w:sz w:val="24"/>
          <w:lang w:val="sk-SK"/>
        </w:rPr>
        <w:t>§ 1</w:t>
      </w:r>
    </w:p>
    <w:p>
      <w:pPr>
        <w:pStyle w:val="Normal"/>
        <w:jc w:val="center"/>
        <w:rPr>
          <w:b/>
          <w:sz w:val="24"/>
          <w:lang w:val="sk-SK"/>
        </w:rPr>
      </w:pPr>
      <w:r>
        <w:rPr>
          <w:b/>
          <w:sz w:val="24"/>
          <w:lang w:val="sk-SK"/>
        </w:rPr>
        <w:t>Výdavky na oslavy, sviatky a kultúrne a spoločenské akcie poriadané obcou, vyznamenania</w:t>
      </w:r>
    </w:p>
    <w:p>
      <w:pPr>
        <w:pStyle w:val="Normal"/>
        <w:rPr>
          <w:b/>
          <w:sz w:val="24"/>
          <w:lang w:val="sk-SK"/>
        </w:rPr>
      </w:pPr>
      <w:r>
        <w:rPr>
          <w:b/>
          <w:sz w:val="24"/>
          <w:lang w:val="sk-SK"/>
        </w:rPr>
      </w:r>
    </w:p>
    <w:p>
      <w:pPr>
        <w:pStyle w:val="Nadpis1"/>
        <w:numPr>
          <w:ilvl w:val="0"/>
          <w:numId w:val="1"/>
        </w:numPr>
        <w:rPr/>
      </w:pPr>
      <w:r>
        <w:rPr/>
        <w:t>Obec každoročne poriada: Dni Obce Závada</w:t>
      </w:r>
    </w:p>
    <w:p>
      <w:pPr>
        <w:pStyle w:val="Normal"/>
        <w:rPr>
          <w:sz w:val="24"/>
          <w:lang w:val="sk-SK"/>
        </w:rPr>
      </w:pPr>
      <w:r>
        <w:rPr>
          <w:sz w:val="24"/>
          <w:lang w:val="sk-SK"/>
        </w:rPr>
        <w:t xml:space="preserve">                                           </w:t>
      </w:r>
      <w:r>
        <w:rPr>
          <w:sz w:val="24"/>
          <w:lang w:val="sk-SK"/>
        </w:rPr>
        <w:t xml:space="preserve">Hasičskú súťaž </w:t>
      </w:r>
    </w:p>
    <w:p>
      <w:pPr>
        <w:pStyle w:val="Normal"/>
        <w:rPr>
          <w:sz w:val="24"/>
          <w:lang w:val="sk-SK"/>
        </w:rPr>
      </w:pPr>
      <w:r>
        <w:rPr>
          <w:sz w:val="24"/>
          <w:lang w:val="sk-SK"/>
        </w:rPr>
        <w:t xml:space="preserve">                                           </w:t>
      </w:r>
      <w:r>
        <w:rPr>
          <w:sz w:val="24"/>
          <w:lang w:val="sk-SK"/>
        </w:rPr>
        <w:t>Stretnutie dôchodcov</w:t>
      </w:r>
    </w:p>
    <w:p>
      <w:pPr>
        <w:pStyle w:val="Normal"/>
        <w:rPr>
          <w:sz w:val="24"/>
          <w:lang w:val="sk-SK"/>
        </w:rPr>
      </w:pPr>
      <w:r>
        <w:rPr>
          <w:sz w:val="24"/>
          <w:lang w:val="sk-SK"/>
        </w:rPr>
        <w:t xml:space="preserve">                                           </w:t>
      </w:r>
      <w:r>
        <w:rPr>
          <w:sz w:val="24"/>
          <w:lang w:val="sk-SK"/>
        </w:rPr>
        <w:t>Deň matiek</w:t>
      </w:r>
    </w:p>
    <w:p>
      <w:pPr>
        <w:pStyle w:val="Normal"/>
        <w:rPr>
          <w:sz w:val="24"/>
          <w:lang w:val="sk-SK"/>
        </w:rPr>
      </w:pPr>
      <w:r>
        <w:rPr>
          <w:sz w:val="24"/>
          <w:lang w:val="sk-SK"/>
        </w:rPr>
        <w:t xml:space="preserve">                                           </w:t>
      </w:r>
      <w:r>
        <w:rPr>
          <w:sz w:val="24"/>
          <w:lang w:val="sk-SK"/>
        </w:rPr>
        <w:t>Deň detí</w:t>
      </w:r>
    </w:p>
    <w:p>
      <w:pPr>
        <w:pStyle w:val="Normal"/>
        <w:rPr>
          <w:sz w:val="24"/>
          <w:lang w:val="sk-SK"/>
        </w:rPr>
      </w:pPr>
      <w:r>
        <w:rPr>
          <w:sz w:val="24"/>
          <w:lang w:val="sk-SK"/>
        </w:rPr>
        <w:t xml:space="preserve">                                           </w:t>
      </w:r>
      <w:r>
        <w:rPr>
          <w:sz w:val="24"/>
          <w:lang w:val="sk-SK"/>
        </w:rPr>
        <w:t>Oslavy Mikuláša</w:t>
      </w:r>
    </w:p>
    <w:p>
      <w:pPr>
        <w:pStyle w:val="Telotextu"/>
        <w:rPr/>
      </w:pPr>
      <w:r>
        <w:rPr/>
        <w:t>Výdavky na tieto a podobné podujatia budú použité na základe zoznamu osôb, ktorých sa akcia dotýka a prezenčnej listiny hostí. Obecné zastupiteľstvo svojím uznesením určí celkovú sumu na akciu alebo čiastku na osobu. Výdavky budú zúčtované na príslušnej položke analyticky na konkrétnu akciu. Súčasťou dokladu je zoznam, prezenčná listina a výpis z uznesenia.</w:t>
      </w:r>
    </w:p>
    <w:p>
      <w:pPr>
        <w:pStyle w:val="Normal"/>
        <w:jc w:val="both"/>
        <w:rPr>
          <w:sz w:val="24"/>
          <w:lang w:val="sk-SK"/>
        </w:rPr>
      </w:pPr>
      <w:r>
        <w:rPr>
          <w:sz w:val="24"/>
          <w:lang w:val="sk-SK"/>
        </w:rPr>
      </w:r>
    </w:p>
    <w:p>
      <w:pPr>
        <w:pStyle w:val="Normal"/>
        <w:jc w:val="both"/>
        <w:rPr>
          <w:sz w:val="24"/>
          <w:lang w:val="sk-SK"/>
        </w:rPr>
      </w:pPr>
      <w:r>
        <w:rPr>
          <w:sz w:val="24"/>
          <w:lang w:val="sk-SK"/>
        </w:rPr>
        <w:t>Obec na základe štatútu obce môže udeliť verejné uznania a pochvaly a odmeny, pri ktorých obecné zastupiteľstvo určuje peňažné odmeny svojím uznesením. Výdavky budú zúčtované na príslušnej položke analyticky podľa udelenia cien. Súčasťou dokladu je  zoznam, prezenčná listina a výpis z uznesenia.</w:t>
      </w:r>
    </w:p>
    <w:p>
      <w:pPr>
        <w:pStyle w:val="Normal"/>
        <w:jc w:val="center"/>
        <w:rPr>
          <w:b/>
          <w:sz w:val="24"/>
          <w:lang w:val="sk-SK"/>
        </w:rPr>
      </w:pPr>
      <w:r>
        <w:rPr>
          <w:b/>
          <w:sz w:val="24"/>
          <w:lang w:val="sk-SK"/>
        </w:rPr>
        <w:t>§ 2</w:t>
      </w:r>
    </w:p>
    <w:p>
      <w:pPr>
        <w:pStyle w:val="Normal"/>
        <w:jc w:val="center"/>
        <w:rPr>
          <w:b/>
          <w:sz w:val="24"/>
          <w:lang w:val="sk-SK"/>
        </w:rPr>
      </w:pPr>
      <w:r>
        <w:rPr>
          <w:b/>
          <w:sz w:val="24"/>
          <w:lang w:val="sk-SK"/>
        </w:rPr>
        <w:t>Výdavky na pietne akty a smútočné tryzny</w:t>
      </w:r>
    </w:p>
    <w:p>
      <w:pPr>
        <w:pStyle w:val="Normal"/>
        <w:jc w:val="center"/>
        <w:rPr>
          <w:b/>
          <w:sz w:val="24"/>
          <w:lang w:val="sk-SK"/>
        </w:rPr>
      </w:pPr>
      <w:r>
        <w:rPr>
          <w:b/>
          <w:sz w:val="24"/>
          <w:lang w:val="sk-SK"/>
        </w:rPr>
      </w:r>
    </w:p>
    <w:p>
      <w:pPr>
        <w:pStyle w:val="Telotextu"/>
        <w:rPr/>
      </w:pPr>
      <w:r>
        <w:rPr/>
        <w:t>Obec môže použiť finančné prostriedky na zakúpenie vencov a kytíc na pietne akty pre zamestnancov obce a ich rodinných príslušníkov, poslancov a ich rodinných príslušníkov, významných občanov obce, sociálne odkázaných občanov a v osobitných prípadoch aj na iné pietne akty. Zúčtovanie primeraných  výdavkov bude predložené obecnému zastupiteľstvu s označením udalosti.</w:t>
      </w:r>
    </w:p>
    <w:p>
      <w:pPr>
        <w:pStyle w:val="Normal"/>
        <w:jc w:val="center"/>
        <w:rPr>
          <w:b/>
          <w:sz w:val="24"/>
          <w:lang w:val="sk-SK"/>
        </w:rPr>
      </w:pPr>
      <w:r>
        <w:rPr>
          <w:b/>
          <w:sz w:val="24"/>
          <w:lang w:val="sk-SK"/>
        </w:rPr>
        <w:t>§ 3</w:t>
      </w:r>
    </w:p>
    <w:p>
      <w:pPr>
        <w:pStyle w:val="Normal"/>
        <w:jc w:val="center"/>
        <w:rPr>
          <w:b/>
          <w:sz w:val="24"/>
          <w:lang w:val="sk-SK"/>
        </w:rPr>
      </w:pPr>
      <w:r>
        <w:rPr>
          <w:b/>
          <w:sz w:val="24"/>
          <w:lang w:val="sk-SK"/>
        </w:rPr>
        <w:t>Výdavky na reprezentačné účely</w:t>
      </w:r>
    </w:p>
    <w:p>
      <w:pPr>
        <w:pStyle w:val="Normal"/>
        <w:jc w:val="center"/>
        <w:rPr>
          <w:b/>
          <w:sz w:val="24"/>
          <w:lang w:val="sk-SK"/>
        </w:rPr>
      </w:pPr>
      <w:r>
        <w:rPr>
          <w:b/>
          <w:sz w:val="24"/>
          <w:lang w:val="sk-SK"/>
        </w:rPr>
      </w:r>
    </w:p>
    <w:p>
      <w:pPr>
        <w:pStyle w:val="Normal"/>
        <w:numPr>
          <w:ilvl w:val="0"/>
          <w:numId w:val="2"/>
        </w:numPr>
        <w:jc w:val="both"/>
        <w:rPr>
          <w:sz w:val="24"/>
          <w:lang w:val="sk-SK"/>
        </w:rPr>
      </w:pPr>
      <w:r>
        <w:rPr>
          <w:sz w:val="24"/>
          <w:lang w:val="sk-SK"/>
        </w:rPr>
        <w:t>Výdavky na reprezentačné účely môžu byť použité, ak si to vyžadujú politické, hospodárske, spoločenské alebo pracovné dôvody na</w:t>
      </w:r>
    </w:p>
    <w:p>
      <w:pPr>
        <w:pStyle w:val="Odsadenietelatextu"/>
        <w:rPr/>
      </w:pPr>
      <w:r>
        <w:rPr/>
        <w:t>a) pohostenie pri oficiálnych návštevách a na ďalšie výdavky spojené s pobytom oficiálnych hostí</w:t>
      </w:r>
    </w:p>
    <w:p>
      <w:pPr>
        <w:pStyle w:val="Normal"/>
        <w:ind w:left="708" w:right="0" w:hanging="0"/>
        <w:jc w:val="both"/>
        <w:rPr>
          <w:sz w:val="24"/>
          <w:lang w:val="sk-SK"/>
        </w:rPr>
      </w:pPr>
      <w:r>
        <w:rPr>
          <w:sz w:val="24"/>
          <w:lang w:val="sk-SK"/>
        </w:rPr>
        <w:t>b) občerstvenie účastníkov porád, konferencií a iných pracovných stretnutí</w:t>
      </w:r>
    </w:p>
    <w:p>
      <w:pPr>
        <w:pStyle w:val="Normal"/>
        <w:ind w:left="708" w:right="0" w:hanging="0"/>
        <w:jc w:val="both"/>
        <w:rPr>
          <w:sz w:val="24"/>
          <w:lang w:val="sk-SK"/>
        </w:rPr>
      </w:pPr>
      <w:r>
        <w:rPr>
          <w:sz w:val="24"/>
          <w:lang w:val="sk-SK"/>
        </w:rPr>
      </w:r>
    </w:p>
    <w:p>
      <w:pPr>
        <w:pStyle w:val="Normal"/>
        <w:ind w:left="708" w:right="0" w:hanging="0"/>
        <w:jc w:val="both"/>
        <w:rPr>
          <w:sz w:val="24"/>
          <w:lang w:val="sk-SK"/>
        </w:rPr>
      </w:pPr>
      <w:r>
        <w:rPr>
          <w:sz w:val="24"/>
          <w:lang w:val="sk-SK"/>
        </w:rPr>
      </w:r>
    </w:p>
    <w:p>
      <w:pPr>
        <w:pStyle w:val="Normal"/>
        <w:pBdr>
          <w:top w:val="nil"/>
          <w:left w:val="nil"/>
          <w:bottom w:val="single" w:sz="12" w:space="1" w:color="000000"/>
          <w:right w:val="nil"/>
        </w:pBdr>
        <w:ind w:left="708" w:right="0" w:hanging="0"/>
        <w:jc w:val="center"/>
        <w:rPr>
          <w:sz w:val="24"/>
          <w:lang w:val="sk-SK"/>
        </w:rPr>
      </w:pPr>
      <w:r>
        <w:rPr>
          <w:sz w:val="24"/>
          <w:lang w:val="sk-SK"/>
        </w:rPr>
        <w:t>str. 2</w:t>
      </w:r>
    </w:p>
    <w:p>
      <w:pPr>
        <w:pStyle w:val="Normal"/>
        <w:ind w:left="708" w:right="0" w:hanging="0"/>
        <w:jc w:val="center"/>
        <w:rPr>
          <w:sz w:val="24"/>
          <w:lang w:val="sk-SK"/>
        </w:rPr>
      </w:pPr>
      <w:r>
        <w:rPr>
          <w:sz w:val="24"/>
          <w:lang w:val="sk-SK"/>
        </w:rPr>
      </w:r>
    </w:p>
    <w:p>
      <w:pPr>
        <w:pStyle w:val="Telotextu"/>
        <w:numPr>
          <w:ilvl w:val="0"/>
          <w:numId w:val="2"/>
        </w:numPr>
        <w:rPr/>
      </w:pPr>
      <w:r>
        <w:rPr/>
        <w:t xml:space="preserve">Za oficiálnu návštevu na reprezentačné účely sa považuje tuzemská alebo zahraničná delegácia, ktorá prerokúva otázky spojené s rozvojom a výkonom obce. </w:t>
      </w:r>
    </w:p>
    <w:p>
      <w:pPr>
        <w:pStyle w:val="Telotextu"/>
        <w:rPr/>
      </w:pPr>
      <w:r>
        <w:rPr/>
      </w:r>
    </w:p>
    <w:p>
      <w:pPr>
        <w:pStyle w:val="Telotextu"/>
        <w:numPr>
          <w:ilvl w:val="0"/>
          <w:numId w:val="2"/>
        </w:numPr>
        <w:rPr/>
      </w:pPr>
      <w:r>
        <w:rPr/>
        <w:t>Za občerstvenie sa považuje káva, čaj a iné nealkoholické nápoje, v zdôvodnených prípadoch aj alkoholické nápoje a jedlo podľa povahy a dĺžky trvania akcie.</w:t>
      </w:r>
    </w:p>
    <w:p>
      <w:pPr>
        <w:pStyle w:val="Telotextu"/>
        <w:rPr/>
      </w:pPr>
      <w:r>
        <w:rPr/>
      </w:r>
    </w:p>
    <w:p>
      <w:pPr>
        <w:pStyle w:val="Telotextu"/>
        <w:numPr>
          <w:ilvl w:val="0"/>
          <w:numId w:val="2"/>
        </w:numPr>
        <w:rPr/>
      </w:pPr>
      <w:r>
        <w:rPr/>
        <w:t>Za výdavky spojené s pobytom hostí sa považujú výdavky na ich uvítanie, ubytovanie, stravovanie, dopravu, tlmočenie, vstupné na kultúrny program.</w:t>
      </w:r>
    </w:p>
    <w:p>
      <w:pPr>
        <w:pStyle w:val="Telotextu"/>
        <w:rPr/>
      </w:pPr>
      <w:r>
        <w:rPr/>
      </w:r>
    </w:p>
    <w:p>
      <w:pPr>
        <w:pStyle w:val="Telotextu"/>
        <w:numPr>
          <w:ilvl w:val="0"/>
          <w:numId w:val="2"/>
        </w:numPr>
        <w:rPr/>
      </w:pPr>
      <w:r>
        <w:rPr/>
        <w:t>Starosta obce môže  poskytnúť zahraničnej i tuzemskej delegácii vecný dar, alebo pri návšteve doniesť v spoločensky potrebnej miere vecný dar. Za vecný dar pre tuzemskú návštevu sa považuje dar v hodnote 16,60 € na jednu osobu a pre zahraničnú delegáciu dar v hodnote 33 20 € na jednu osobu.</w:t>
      </w:r>
    </w:p>
    <w:p>
      <w:pPr>
        <w:pStyle w:val="Telotextu"/>
        <w:rPr/>
      </w:pPr>
      <w:r>
        <w:rPr/>
      </w:r>
    </w:p>
    <w:p>
      <w:pPr>
        <w:pStyle w:val="Telotextu"/>
        <w:numPr>
          <w:ilvl w:val="0"/>
          <w:numId w:val="2"/>
        </w:numPr>
        <w:rPr/>
      </w:pPr>
      <w:r>
        <w:rPr/>
        <w:t>Výdavky budú zúčtované na príslušnú položku analyticky. Súčasťou dokladu sú zoznamy prezenčné listiny a výpis z uznesenia OZ.</w:t>
      </w:r>
    </w:p>
    <w:p>
      <w:pPr>
        <w:pStyle w:val="Normal"/>
        <w:jc w:val="both"/>
        <w:rPr>
          <w:sz w:val="24"/>
          <w:lang w:val="sk-SK"/>
        </w:rPr>
      </w:pPr>
      <w:r>
        <w:rPr>
          <w:sz w:val="24"/>
          <w:lang w:val="sk-SK"/>
        </w:rPr>
      </w:r>
    </w:p>
    <w:p>
      <w:pPr>
        <w:pStyle w:val="Normal"/>
        <w:jc w:val="center"/>
        <w:rPr>
          <w:b/>
          <w:sz w:val="24"/>
          <w:lang w:val="sk-SK"/>
        </w:rPr>
      </w:pPr>
      <w:r>
        <w:rPr>
          <w:b/>
          <w:sz w:val="24"/>
          <w:lang w:val="sk-SK"/>
        </w:rPr>
        <w:t>§ 4</w:t>
      </w:r>
    </w:p>
    <w:p>
      <w:pPr>
        <w:pStyle w:val="Normal"/>
        <w:jc w:val="center"/>
        <w:rPr>
          <w:b/>
          <w:sz w:val="24"/>
          <w:lang w:val="sk-SK"/>
        </w:rPr>
      </w:pPr>
      <w:r>
        <w:rPr>
          <w:b/>
          <w:sz w:val="24"/>
          <w:lang w:val="sk-SK"/>
        </w:rPr>
        <w:t>Výdavky na propagačné účely</w:t>
      </w:r>
    </w:p>
    <w:p>
      <w:pPr>
        <w:pStyle w:val="Normal"/>
        <w:jc w:val="center"/>
        <w:rPr>
          <w:b/>
          <w:sz w:val="24"/>
          <w:lang w:val="sk-SK"/>
        </w:rPr>
      </w:pPr>
      <w:r>
        <w:rPr>
          <w:b/>
          <w:sz w:val="24"/>
          <w:lang w:val="sk-SK"/>
        </w:rPr>
      </w:r>
    </w:p>
    <w:p>
      <w:pPr>
        <w:pStyle w:val="Telotextu"/>
        <w:rPr/>
      </w:pPr>
      <w:r>
        <w:rPr/>
        <w:t>Výdavky na propagačné účely môžu byť použité na propagáciu a reklamu, ktorá bezprostredne súvisí s činnosťou obce, na novoročné pozdravy, inzerciu, internetovú stránku organizácie, vizitky, účasť na výstavách a expozíciách.</w:t>
      </w:r>
    </w:p>
    <w:p>
      <w:pPr>
        <w:pStyle w:val="Normal"/>
        <w:jc w:val="both"/>
        <w:rPr>
          <w:b/>
          <w:sz w:val="24"/>
          <w:lang w:val="sk-SK"/>
        </w:rPr>
      </w:pPr>
      <w:r>
        <w:rPr>
          <w:b/>
          <w:sz w:val="24"/>
          <w:lang w:val="sk-SK"/>
        </w:rPr>
      </w:r>
    </w:p>
    <w:p>
      <w:pPr>
        <w:pStyle w:val="Normal"/>
        <w:jc w:val="center"/>
        <w:rPr>
          <w:b/>
          <w:sz w:val="24"/>
          <w:lang w:val="sk-SK"/>
        </w:rPr>
      </w:pPr>
      <w:r>
        <w:rPr>
          <w:b/>
          <w:sz w:val="24"/>
          <w:lang w:val="sk-SK"/>
        </w:rPr>
        <w:t>§ 5</w:t>
      </w:r>
    </w:p>
    <w:p>
      <w:pPr>
        <w:pStyle w:val="Nadpis2"/>
        <w:numPr>
          <w:ilvl w:val="1"/>
          <w:numId w:val="1"/>
        </w:numPr>
        <w:rPr/>
      </w:pPr>
      <w:r>
        <w:rPr/>
        <w:t>Záverečné ustanovenie</w:t>
      </w:r>
    </w:p>
    <w:p>
      <w:pPr>
        <w:pStyle w:val="Telotextu"/>
        <w:rPr/>
      </w:pPr>
      <w:r>
        <w:rPr/>
      </w:r>
    </w:p>
    <w:p>
      <w:pPr>
        <w:pStyle w:val="Telotextu"/>
        <w:rPr/>
      </w:pPr>
      <w:r>
        <w:rPr/>
      </w:r>
    </w:p>
    <w:p>
      <w:pPr>
        <w:pStyle w:val="Normal"/>
        <w:tabs>
          <w:tab w:val="left" w:pos="360" w:leader="none"/>
        </w:tabs>
        <w:ind w:left="360" w:right="0" w:hanging="360"/>
        <w:jc w:val="both"/>
        <w:rPr>
          <w:sz w:val="24"/>
          <w:szCs w:val="24"/>
          <w:lang w:val="sk-SK"/>
        </w:rPr>
      </w:pPr>
      <w:r>
        <w:rPr>
          <w:sz w:val="24"/>
          <w:szCs w:val="24"/>
          <w:lang w:val="sk-SK"/>
        </w:rPr>
        <w:t>(1)    Na tejto smernici sa uznieslo Obecné zastupiteľstvo v Závade, dňa 14.12.2008 </w:t>
      </w:r>
    </w:p>
    <w:p>
      <w:pPr>
        <w:pStyle w:val="Normal"/>
        <w:tabs>
          <w:tab w:val="left" w:pos="360" w:leader="none"/>
        </w:tabs>
        <w:ind w:left="360" w:right="0" w:hanging="360"/>
        <w:jc w:val="both"/>
        <w:rPr>
          <w:sz w:val="24"/>
          <w:szCs w:val="24"/>
          <w:lang w:val="sk-SK"/>
        </w:rPr>
      </w:pPr>
      <w:r>
        <w:rPr>
          <w:sz w:val="24"/>
          <w:szCs w:val="24"/>
          <w:lang w:val="sk-SK"/>
        </w:rPr>
        <w:t>(2)    Zmeny a doplnky tejto smernice schvaľuje Obecné zastupiteľstvo v Závade.</w:t>
      </w:r>
    </w:p>
    <w:p>
      <w:pPr>
        <w:pStyle w:val="Normal"/>
        <w:tabs>
          <w:tab w:val="left" w:pos="360" w:leader="none"/>
        </w:tabs>
        <w:ind w:left="360" w:right="0" w:hanging="360"/>
        <w:jc w:val="both"/>
        <w:rPr>
          <w:sz w:val="24"/>
          <w:szCs w:val="24"/>
          <w:lang w:val="sk-SK"/>
        </w:rPr>
      </w:pPr>
      <w:r>
        <w:rPr>
          <w:sz w:val="24"/>
          <w:szCs w:val="24"/>
          <w:lang w:val="sk-SK"/>
        </w:rPr>
        <w:t>(3)    Táto smernica nadobúdajú účinnosť dňom 01.01.2009</w:t>
      </w:r>
    </w:p>
    <w:p>
      <w:pPr>
        <w:pStyle w:val="Normal"/>
        <w:jc w:val="both"/>
        <w:rPr>
          <w:sz w:val="24"/>
          <w:szCs w:val="24"/>
          <w:lang w:val="sk-SK"/>
        </w:rPr>
      </w:pPr>
      <w:r>
        <w:rPr>
          <w:sz w:val="24"/>
          <w:szCs w:val="24"/>
          <w:lang w:val="sk-SK"/>
        </w:rPr>
        <w:t> </w:t>
      </w:r>
    </w:p>
    <w:p>
      <w:pPr>
        <w:pStyle w:val="Normal"/>
        <w:jc w:val="both"/>
        <w:rPr>
          <w:sz w:val="22"/>
          <w:lang w:val="sk-SK"/>
        </w:rPr>
      </w:pPr>
      <w:r>
        <w:rPr>
          <w:sz w:val="22"/>
          <w:lang w:val="sk-SK"/>
        </w:rPr>
      </w:r>
    </w:p>
    <w:p>
      <w:pPr>
        <w:pStyle w:val="Telotextu"/>
        <w:rPr/>
      </w:pPr>
      <w:r>
        <w:rPr/>
      </w:r>
    </w:p>
    <w:p>
      <w:pPr>
        <w:pStyle w:val="Telotextu"/>
        <w:rPr/>
      </w:pPr>
      <w:r>
        <w:rPr/>
        <w:t>V  Závade, 14.12.2008</w:t>
      </w:r>
    </w:p>
    <w:p>
      <w:pPr>
        <w:pStyle w:val="Telotextu"/>
        <w:rPr/>
      </w:pPr>
      <w:r>
        <w:rPr/>
      </w:r>
    </w:p>
    <w:p>
      <w:pPr>
        <w:pStyle w:val="Telotextu"/>
        <w:rPr/>
      </w:pPr>
      <w:r>
        <w:rPr/>
        <w:t xml:space="preserve">                                                           </w:t>
      </w:r>
    </w:p>
    <w:p>
      <w:pPr>
        <w:pStyle w:val="Telotextu"/>
        <w:rPr/>
      </w:pPr>
      <w:r>
        <w:rPr/>
      </w:r>
    </w:p>
    <w:p>
      <w:pPr>
        <w:pStyle w:val="Telotextu"/>
        <w:rPr/>
      </w:pPr>
      <w:r>
        <w:rPr/>
        <w:t xml:space="preserve">                                                                                                </w:t>
      </w:r>
      <w:r>
        <w:rPr/>
        <w:t>Miroslav  KALMÁR</w:t>
      </w:r>
    </w:p>
    <w:p>
      <w:pPr>
        <w:pStyle w:val="Telotextu"/>
        <w:rPr/>
      </w:pPr>
      <w:r>
        <w:rPr/>
        <w:t xml:space="preserve">                                                                                                       </w:t>
      </w:r>
      <w:r>
        <w:rPr/>
        <w:t>starosta obce</w:t>
      </w:r>
    </w:p>
    <w:p>
      <w:pPr>
        <w:pStyle w:val="Telotextu"/>
        <w:rPr/>
      </w:pPr>
      <w:r>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r>
    </w:p>
    <w:p>
      <w:pPr>
        <w:pStyle w:val="Normal"/>
        <w:jc w:val="both"/>
        <w:rPr>
          <w:b/>
          <w:sz w:val="24"/>
          <w:lang w:val="sk-SK"/>
        </w:rPr>
      </w:pPr>
      <w:r>
        <w:rPr>
          <w:b/>
          <w:sz w:val="24"/>
          <w:lang w:val="sk-SK"/>
        </w:rPr>
        <w:t xml:space="preserve">                                                                                     </w:t>
      </w:r>
    </w:p>
    <w:sectPr>
      <w:footerReference w:type="default" r:id="rId3"/>
      <w:type w:val="nextPage"/>
      <w:pgSz w:w="11906" w:h="16838"/>
      <w:pgMar w:left="1417" w:right="1417" w:header="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Symbo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ind w:left="0" w:right="360" w:hanging="0"/>
      <w:rPr/>
    </w:pPr>
    <w:r>
      <w:rPr/>
    </w:r>
    <w:r>
      <w:pict>
        <v:rect fillcolor="#FFFFFF" style="position:absolute;width:5.05pt;height:11.5pt;margin-top:0.05pt;margin-left:448.55pt">
          <v:fill opacity="0f"/>
          <v:textbox>
            <w:txbxContent>
              <w:p>
                <w:pPr>
                  <w:pStyle w:val="Pta"/>
                  <w:rPr>
                    <w:rStyle w:val="Slostrany"/>
                  </w:rPr>
                </w:pPr>
                <w:r>
                  <w:rPr>
                    <w:rStyle w:val="Slostrany"/>
                  </w:rPr>
                  <w:fldChar w:fldCharType="begin"/>
                </w:r>
                <w:r>
                  <w:instrText> PAGE </w:instrText>
                </w:r>
                <w:r>
                  <w:fldChar w:fldCharType="separate"/>
                </w:r>
                <w:r>
                  <w:t>3</w:t>
                </w:r>
                <w:r>
                  <w:fldChar w:fldCharType="end"/>
                </w:r>
              </w:p>
            </w:txbxContent>
          </v:textbox>
          <w10:wrap type="square" side="largest"/>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decimal"/>
      <w:lvlText w:val="%1."/>
      <w:lvlJc w:val="left"/>
      <w:pPr>
        <w:tabs>
          <w:tab w:val="num" w:pos="360"/>
        </w:tabs>
        <w:ind w:left="360" w:hanging="360"/>
      </w:pPr>
      <w:rPr>
        <w:sz w:val="24"/>
      </w:rPr>
    </w:lvl>
  </w:abstractNum>
  <w:abstractNum w:abstractNumId="3">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0"/>
      <w:szCs w:val="20"/>
      <w:lang w:val="cs-CZ" w:bidi="ar-SA" w:eastAsia="zh-CN"/>
    </w:rPr>
  </w:style>
  <w:style w:type="paragraph" w:styleId="Nadpis1">
    <w:name w:val="Nadpis 1"/>
    <w:basedOn w:val="Normal"/>
    <w:next w:val="Normal"/>
    <w:pPr>
      <w:keepNext/>
      <w:numPr>
        <w:ilvl w:val="0"/>
        <w:numId w:val="1"/>
      </w:numPr>
      <w:outlineLvl w:val="0"/>
      <w:outlineLvl w:val="0"/>
    </w:pPr>
    <w:rPr>
      <w:sz w:val="24"/>
      <w:lang w:val="sk-SK"/>
    </w:rPr>
  </w:style>
  <w:style w:type="paragraph" w:styleId="Nadpis2">
    <w:name w:val="Nadpis 2"/>
    <w:basedOn w:val="Normal"/>
    <w:next w:val="Normal"/>
    <w:pPr>
      <w:keepNext/>
      <w:numPr>
        <w:ilvl w:val="1"/>
        <w:numId w:val="1"/>
      </w:numPr>
      <w:jc w:val="center"/>
      <w:outlineLvl w:val="1"/>
      <w:outlineLvl w:val="1"/>
    </w:pPr>
    <w:rPr>
      <w:b/>
      <w:sz w:val="24"/>
      <w:lang w:val="sk-SK"/>
    </w:rPr>
  </w:style>
  <w:style w:type="paragraph" w:styleId="Nadpis3">
    <w:name w:val="Nadpis 3"/>
    <w:basedOn w:val="Normal"/>
    <w:next w:val="Normal"/>
    <w:pPr>
      <w:keepNext/>
      <w:numPr>
        <w:ilvl w:val="2"/>
        <w:numId w:val="1"/>
      </w:numPr>
      <w:jc w:val="center"/>
      <w:outlineLvl w:val="2"/>
      <w:outlineLvl w:val="2"/>
    </w:pPr>
    <w:rPr>
      <w:sz w:val="24"/>
      <w:lang w:val="sk-SK"/>
    </w:rPr>
  </w:style>
  <w:style w:type="character" w:styleId="WW8Num1z0">
    <w:name w:val="WW8Num1z0"/>
    <w:rPr>
      <w:sz w:val="24"/>
      <w:lang w:val="sk-SK"/>
    </w:rPr>
  </w:style>
  <w:style w:type="character" w:styleId="WW8Num2z0">
    <w:name w:val="WW8Num2z0"/>
    <w:rPr>
      <w:rFonts w:ascii="Symbol" w:hAnsi="Symbol" w:cs="Symbol"/>
    </w:rPr>
  </w:style>
  <w:style w:type="character" w:styleId="Standardnpsmoodstavce">
    <w:name w:val="Standardní písmo odstavce"/>
    <w:rPr/>
  </w:style>
  <w:style w:type="character" w:styleId="Slostrany">
    <w:name w:val="Číslo strany"/>
    <w:basedOn w:val="Standardnpsmoodstavce"/>
    <w:rPr/>
  </w:style>
  <w:style w:type="paragraph" w:styleId="Nadpis">
    <w:name w:val="Nadpis"/>
    <w:basedOn w:val="Normal"/>
    <w:next w:val="Telotextu"/>
    <w:pPr>
      <w:jc w:val="center"/>
    </w:pPr>
    <w:rPr>
      <w:b/>
      <w:sz w:val="24"/>
      <w:lang w:val="sk-SK"/>
    </w:rPr>
  </w:style>
  <w:style w:type="paragraph" w:styleId="Telotextu">
    <w:name w:val="Telo textu"/>
    <w:basedOn w:val="Normal"/>
    <w:pPr>
      <w:jc w:val="both"/>
    </w:pPr>
    <w:rPr>
      <w:sz w:val="24"/>
      <w:lang w:val="sk-SK"/>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Odsadenietelatextu">
    <w:name w:val="Odsadenie tela textu"/>
    <w:basedOn w:val="Normal"/>
    <w:pPr>
      <w:ind w:left="708" w:right="0" w:hanging="0"/>
      <w:jc w:val="both"/>
    </w:pPr>
    <w:rPr>
      <w:sz w:val="24"/>
      <w:lang w:val="sk-SK"/>
    </w:rPr>
  </w:style>
  <w:style w:type="paragraph" w:styleId="Pta">
    <w:name w:val="Päta"/>
    <w:basedOn w:val="Normal"/>
    <w:pPr>
      <w:tabs>
        <w:tab w:val="center" w:pos="4536" w:leader="none"/>
        <w:tab w:val="right" w:pos="9072" w:leader="none"/>
      </w:tabs>
    </w:pPr>
    <w:rPr/>
  </w:style>
  <w:style w:type="paragraph" w:styleId="Obsahrmca">
    <w:name w:val="Obsah rámca"/>
    <w:basedOn w:val="Normal"/>
    <w:pPr/>
    <w:rPr/>
  </w:style>
  <w:style w:type="numbering" w:styleId="WW8Num1">
    <w:name w:val="WW8Num1"/>
  </w:style>
  <w:style w:type="numbering" w:styleId="WW8Num2">
    <w:name w:val="WW8Num2"/>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60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2014-11-04T20:12:01Z</dcterms:created>
  <dc:language>sk-SK</dc:language>
  <cp:lastModifiedBy>Miroslav Kalmár</cp:lastModifiedBy>
  <cp:lastPrinted>2005-06-29T14:39:00Z</cp:lastPrinted>
  <dcterms:modified xsi:type="dcterms:W3CDTF">2012-01-07T05:39:00Z</dcterms:modified>
  <cp:revision>2</cp:revision>
  <dc:title>Obec Ťapešovo</dc:title>
</cp:coreProperties>
</file>